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B8" w:rsidRDefault="004B5EB8" w:rsidP="004B5EB8">
      <w:pPr>
        <w:pStyle w:val="ConsPlusNormal"/>
        <w:jc w:val="center"/>
        <w:outlineLvl w:val="1"/>
      </w:pPr>
      <w:bookmarkStart w:id="0" w:name="Par318"/>
      <w:bookmarkEnd w:id="0"/>
      <w:r>
        <w:t>Форма 1.2. Информация о балансе электрической энергии</w:t>
      </w:r>
    </w:p>
    <w:p w:rsidR="004B5EB8" w:rsidRDefault="004B5EB8" w:rsidP="004B5EB8">
      <w:pPr>
        <w:pStyle w:val="ConsPlusNormal"/>
        <w:jc w:val="center"/>
      </w:pPr>
      <w:r>
        <w:t xml:space="preserve">и мощности </w:t>
      </w:r>
      <w:hyperlink w:anchor="Par322" w:tooltip="Ссылка на текущий документ" w:history="1">
        <w:r>
          <w:rPr>
            <w:color w:val="0000FF"/>
          </w:rPr>
          <w:t>&lt;*&gt;</w:t>
        </w:r>
      </w:hyperlink>
    </w:p>
    <w:p w:rsidR="0035078C" w:rsidRDefault="0035078C" w:rsidP="004B5EB8">
      <w:pPr>
        <w:pStyle w:val="ConsPlusNormal"/>
        <w:jc w:val="both"/>
      </w:pPr>
    </w:p>
    <w:p w:rsidR="004B5EB8" w:rsidRDefault="004B5EB8" w:rsidP="004B5EB8">
      <w:pPr>
        <w:pStyle w:val="ConsPlusNormal"/>
        <w:ind w:firstLine="540"/>
        <w:jc w:val="both"/>
      </w:pPr>
      <w:r>
        <w:t>--------------------------------</w:t>
      </w:r>
    </w:p>
    <w:p w:rsidR="004B5EB8" w:rsidRPr="004B5EB8" w:rsidRDefault="004B5EB8" w:rsidP="004B5EB8">
      <w:pPr>
        <w:pStyle w:val="ConsPlusNormal"/>
        <w:ind w:firstLine="540"/>
        <w:jc w:val="both"/>
        <w:rPr>
          <w:sz w:val="16"/>
          <w:szCs w:val="16"/>
        </w:rPr>
      </w:pPr>
      <w:bookmarkStart w:id="1" w:name="Par322"/>
      <w:bookmarkEnd w:id="1"/>
      <w:r w:rsidRPr="004B5EB8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35078C" w:rsidRDefault="0035078C" w:rsidP="004B5EB8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327"/>
        <w:gridCol w:w="209"/>
        <w:gridCol w:w="1275"/>
        <w:gridCol w:w="1574"/>
        <w:gridCol w:w="1652"/>
      </w:tblGrid>
      <w:tr w:rsidR="009304BF" w:rsidTr="00730B37">
        <w:tc>
          <w:tcPr>
            <w:tcW w:w="4861" w:type="dxa"/>
            <w:gridSpan w:val="2"/>
          </w:tcPr>
          <w:p w:rsidR="009304BF" w:rsidRDefault="009304BF" w:rsidP="009304B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710" w:type="dxa"/>
            <w:gridSpan w:val="4"/>
          </w:tcPr>
          <w:p w:rsidR="009304BF" w:rsidRDefault="009304BF" w:rsidP="009304B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9304BF" w:rsidTr="00730B37">
        <w:tc>
          <w:tcPr>
            <w:tcW w:w="4861" w:type="dxa"/>
            <w:gridSpan w:val="2"/>
          </w:tcPr>
          <w:p w:rsidR="009304BF" w:rsidRDefault="009304BF" w:rsidP="004B5EB8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710" w:type="dxa"/>
            <w:gridSpan w:val="4"/>
          </w:tcPr>
          <w:p w:rsidR="009304BF" w:rsidRDefault="009304BF" w:rsidP="004B5EB8">
            <w:pPr>
              <w:pStyle w:val="ConsPlusNormal"/>
              <w:jc w:val="both"/>
            </w:pPr>
            <w:r>
              <w:t>4003006551</w:t>
            </w:r>
          </w:p>
        </w:tc>
      </w:tr>
      <w:tr w:rsidR="009304BF" w:rsidTr="00730B37">
        <w:tc>
          <w:tcPr>
            <w:tcW w:w="4861" w:type="dxa"/>
            <w:gridSpan w:val="2"/>
          </w:tcPr>
          <w:p w:rsidR="009304BF" w:rsidRDefault="009304BF" w:rsidP="004B5EB8">
            <w:pPr>
              <w:pStyle w:val="ConsPlusNormal"/>
              <w:jc w:val="both"/>
            </w:pPr>
            <w:r>
              <w:t>Местонахождение (фактический адрес)</w:t>
            </w:r>
          </w:p>
        </w:tc>
        <w:tc>
          <w:tcPr>
            <w:tcW w:w="4710" w:type="dxa"/>
            <w:gridSpan w:val="4"/>
          </w:tcPr>
          <w:p w:rsidR="009304BF" w:rsidRDefault="009304BF" w:rsidP="004B5EB8">
            <w:pPr>
              <w:pStyle w:val="ConsPlusNormal"/>
              <w:jc w:val="both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9304BF" w:rsidTr="00730B37">
        <w:tc>
          <w:tcPr>
            <w:tcW w:w="9571" w:type="dxa"/>
            <w:gridSpan w:val="6"/>
          </w:tcPr>
          <w:p w:rsidR="009304BF" w:rsidRDefault="009304BF" w:rsidP="009304BF">
            <w:pPr>
              <w:pStyle w:val="ConsPlusNormal"/>
              <w:jc w:val="center"/>
            </w:pPr>
            <w:r>
              <w:t>Информация о балансе электрической энергии и мощности на текущий период регулирования,  20</w:t>
            </w:r>
            <w:r>
              <w:rPr>
                <w:u w:val="single"/>
              </w:rPr>
              <w:t>16</w:t>
            </w:r>
            <w:r>
              <w:t xml:space="preserve"> год</w:t>
            </w:r>
          </w:p>
        </w:tc>
      </w:tr>
      <w:tr w:rsidR="009304BF" w:rsidTr="00730B37">
        <w:tc>
          <w:tcPr>
            <w:tcW w:w="534" w:type="dxa"/>
          </w:tcPr>
          <w:p w:rsidR="009304BF" w:rsidRDefault="009304BF" w:rsidP="009304B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9304BF" w:rsidRDefault="009304BF" w:rsidP="009304B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75" w:type="dxa"/>
          </w:tcPr>
          <w:p w:rsidR="009304BF" w:rsidRDefault="009304BF" w:rsidP="009304B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74" w:type="dxa"/>
          </w:tcPr>
          <w:p w:rsidR="009304BF" w:rsidRDefault="009304BF" w:rsidP="009304BF">
            <w:pPr>
              <w:pStyle w:val="ConsPlusNormal"/>
              <w:jc w:val="center"/>
            </w:pPr>
            <w:r>
              <w:t>Факт 20</w:t>
            </w:r>
            <w:r>
              <w:rPr>
                <w:u w:val="single"/>
              </w:rPr>
              <w:t>15</w:t>
            </w:r>
            <w:r>
              <w:t xml:space="preserve"> г. (</w:t>
            </w:r>
            <w:proofErr w:type="gramStart"/>
            <w:r>
              <w:t>предшествую</w:t>
            </w:r>
            <w:r w:rsidRPr="004F4795"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период)</w:t>
            </w:r>
          </w:p>
        </w:tc>
        <w:tc>
          <w:tcPr>
            <w:tcW w:w="1652" w:type="dxa"/>
          </w:tcPr>
          <w:p w:rsidR="009304BF" w:rsidRDefault="009304BF" w:rsidP="009304BF">
            <w:pPr>
              <w:pStyle w:val="ConsPlusNormal"/>
              <w:jc w:val="center"/>
            </w:pPr>
            <w:r>
              <w:t>План 20</w:t>
            </w:r>
            <w:r>
              <w:rPr>
                <w:u w:val="single"/>
              </w:rPr>
              <w:t>16</w:t>
            </w:r>
            <w:r>
              <w:t xml:space="preserve"> г. (текущий период)</w:t>
            </w:r>
          </w:p>
        </w:tc>
      </w:tr>
      <w:tr w:rsidR="009304BF" w:rsidTr="00730B37">
        <w:tc>
          <w:tcPr>
            <w:tcW w:w="9571" w:type="dxa"/>
            <w:gridSpan w:val="6"/>
          </w:tcPr>
          <w:p w:rsidR="009304BF" w:rsidRDefault="009304BF" w:rsidP="009304BF">
            <w:pPr>
              <w:pStyle w:val="ConsPlusNormal"/>
              <w:jc w:val="center"/>
            </w:pPr>
            <w:r>
              <w:t>Электрическая энергия</w:t>
            </w:r>
          </w:p>
        </w:tc>
      </w:tr>
      <w:tr w:rsidR="00243E5D" w:rsidTr="00730B37">
        <w:tc>
          <w:tcPr>
            <w:tcW w:w="534" w:type="dxa"/>
            <w:vMerge w:val="restart"/>
          </w:tcPr>
          <w:p w:rsidR="00243E5D" w:rsidRDefault="00243E5D" w:rsidP="004B5E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536" w:type="dxa"/>
            <w:gridSpan w:val="2"/>
          </w:tcPr>
          <w:p w:rsidR="00730B37" w:rsidRDefault="00243E5D" w:rsidP="00730B37">
            <w:pPr>
              <w:pStyle w:val="ConsPlusNormal"/>
            </w:pPr>
            <w:r>
              <w:t>Поступление в сеть - ВСЕГО,</w:t>
            </w:r>
          </w:p>
          <w:p w:rsidR="00243E5D" w:rsidRDefault="00243E5D" w:rsidP="00730B37">
            <w:pPr>
              <w:pStyle w:val="ConsPlusNormal"/>
            </w:pPr>
            <w:r>
              <w:t xml:space="preserve"> в том числе по уровням напряжения:</w:t>
            </w:r>
          </w:p>
        </w:tc>
        <w:tc>
          <w:tcPr>
            <w:tcW w:w="1275" w:type="dxa"/>
            <w:vMerge w:val="restart"/>
          </w:tcPr>
          <w:p w:rsidR="00243E5D" w:rsidRDefault="00243E5D" w:rsidP="00730B37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574" w:type="dxa"/>
          </w:tcPr>
          <w:p w:rsidR="00243E5D" w:rsidRDefault="007328DB" w:rsidP="00730B37">
            <w:pPr>
              <w:pStyle w:val="ConsPlusNormal"/>
              <w:jc w:val="center"/>
            </w:pPr>
            <w:r>
              <w:t>7,5238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7328DB" w:rsidP="00730B37">
            <w:pPr>
              <w:pStyle w:val="ConsPlusNormal"/>
              <w:jc w:val="center"/>
            </w:pPr>
            <w:r>
              <w:t>7,5238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</w:tcPr>
          <w:p w:rsidR="00243E5D" w:rsidRDefault="00243E5D" w:rsidP="004B5E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536" w:type="dxa"/>
            <w:gridSpan w:val="2"/>
          </w:tcPr>
          <w:p w:rsidR="00730B37" w:rsidRDefault="00243E5D" w:rsidP="00730B37">
            <w:pPr>
              <w:pStyle w:val="ConsPlusNormal"/>
            </w:pPr>
            <w:r>
              <w:t>Потери в электрической сети - ВСЕГО,</w:t>
            </w:r>
          </w:p>
          <w:p w:rsidR="00243E5D" w:rsidRDefault="00243E5D" w:rsidP="00730B37">
            <w:pPr>
              <w:pStyle w:val="ConsPlusNormal"/>
            </w:pPr>
            <w:r>
              <w:t xml:space="preserve"> в том числе:</w:t>
            </w:r>
          </w:p>
        </w:tc>
        <w:tc>
          <w:tcPr>
            <w:tcW w:w="1275" w:type="dxa"/>
            <w:vMerge w:val="restart"/>
          </w:tcPr>
          <w:p w:rsidR="00243E5D" w:rsidRDefault="00243E5D" w:rsidP="00730B37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574" w:type="dxa"/>
          </w:tcPr>
          <w:p w:rsidR="00243E5D" w:rsidRDefault="00243E5D" w:rsidP="007328DB">
            <w:pPr>
              <w:pStyle w:val="ConsPlusNormal"/>
              <w:jc w:val="center"/>
            </w:pPr>
            <w:r>
              <w:t>0,</w:t>
            </w:r>
            <w:r w:rsidR="007328DB">
              <w:t>6972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 w:val="restart"/>
          </w:tcPr>
          <w:p w:rsidR="00243E5D" w:rsidRDefault="00243E5D" w:rsidP="004B5EB8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4536" w:type="dxa"/>
            <w:gridSpan w:val="2"/>
          </w:tcPr>
          <w:p w:rsidR="00730B37" w:rsidRDefault="00243E5D" w:rsidP="00730B37">
            <w:pPr>
              <w:pStyle w:val="ConsPlusNormal"/>
            </w:pPr>
            <w:proofErr w:type="gramStart"/>
            <w:r>
              <w:t>относимые</w:t>
            </w:r>
            <w:proofErr w:type="gramEnd"/>
            <w:r>
              <w:t xml:space="preserve">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</w:t>
            </w:r>
          </w:p>
          <w:p w:rsidR="00243E5D" w:rsidRDefault="00243E5D" w:rsidP="00730B37">
            <w:pPr>
              <w:pStyle w:val="ConsPlusNormal"/>
            </w:pPr>
            <w:r>
              <w:t xml:space="preserve"> в том числе по уровням напряжения: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28DB">
            <w:pPr>
              <w:pStyle w:val="ConsPlusNormal"/>
              <w:jc w:val="center"/>
            </w:pPr>
            <w:r>
              <w:t>0,</w:t>
            </w:r>
            <w:r w:rsidR="007328DB">
              <w:t>6972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28DB">
            <w:pPr>
              <w:pStyle w:val="ConsPlusNormal"/>
              <w:jc w:val="center"/>
            </w:pPr>
            <w:r>
              <w:t>0,</w:t>
            </w:r>
            <w:r w:rsidR="007328DB">
              <w:t>6972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</w:tcPr>
          <w:p w:rsidR="00243E5D" w:rsidRDefault="00243E5D" w:rsidP="004B5E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Относительные потери в электрической сети - ВСЕГО, в том числе:</w:t>
            </w:r>
          </w:p>
        </w:tc>
        <w:tc>
          <w:tcPr>
            <w:tcW w:w="1275" w:type="dxa"/>
            <w:vMerge w:val="restart"/>
          </w:tcPr>
          <w:p w:rsidR="00243E5D" w:rsidRDefault="00243E5D" w:rsidP="00730B3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4" w:type="dxa"/>
          </w:tcPr>
          <w:p w:rsidR="00243E5D" w:rsidRDefault="007328DB" w:rsidP="00730B37">
            <w:pPr>
              <w:pStyle w:val="ConsPlusNormal"/>
              <w:jc w:val="center"/>
            </w:pPr>
            <w:r>
              <w:t>9,2666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 w:val="restart"/>
          </w:tcPr>
          <w:p w:rsidR="00243E5D" w:rsidRDefault="00243E5D" w:rsidP="004B5EB8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4536" w:type="dxa"/>
            <w:gridSpan w:val="2"/>
          </w:tcPr>
          <w:p w:rsidR="00730B37" w:rsidRDefault="00243E5D" w:rsidP="00730B37">
            <w:pPr>
              <w:pStyle w:val="ConsPlusNormal"/>
            </w:pPr>
            <w:proofErr w:type="gramStart"/>
            <w:r>
              <w:t>относимые</w:t>
            </w:r>
            <w:proofErr w:type="gramEnd"/>
            <w:r>
              <w:t xml:space="preserve">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</w:t>
            </w:r>
          </w:p>
          <w:p w:rsidR="00243E5D" w:rsidRDefault="00243E5D" w:rsidP="00730B37">
            <w:pPr>
              <w:pStyle w:val="ConsPlusNormal"/>
            </w:pPr>
            <w:r>
              <w:t xml:space="preserve"> в том числе по уровням напряжения: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7328DB" w:rsidP="00730B37">
            <w:pPr>
              <w:pStyle w:val="ConsPlusNormal"/>
              <w:jc w:val="center"/>
            </w:pPr>
            <w:r>
              <w:t>9,2666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7328DB" w:rsidP="00730B37">
            <w:pPr>
              <w:pStyle w:val="ConsPlusNormal"/>
              <w:jc w:val="center"/>
            </w:pPr>
            <w:r>
              <w:t>9,2666</w:t>
            </w: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243E5D" w:rsidTr="00730B37">
        <w:tc>
          <w:tcPr>
            <w:tcW w:w="534" w:type="dxa"/>
            <w:vMerge/>
          </w:tcPr>
          <w:p w:rsidR="00243E5D" w:rsidRDefault="00243E5D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243E5D" w:rsidRDefault="00243E5D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243E5D" w:rsidRDefault="00243E5D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243E5D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r>
              <w:t xml:space="preserve">Отпуск из сети (полезный отпуск) - ВСЕГО, </w:t>
            </w:r>
          </w:p>
          <w:p w:rsidR="0035078C" w:rsidRDefault="0035078C" w:rsidP="00730B37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vMerge w:val="restart"/>
          </w:tcPr>
          <w:p w:rsidR="0035078C" w:rsidRDefault="0035078C" w:rsidP="00730B37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574" w:type="dxa"/>
          </w:tcPr>
          <w:p w:rsidR="0035078C" w:rsidRDefault="0035078C" w:rsidP="007328DB">
            <w:pPr>
              <w:pStyle w:val="ConsPlusNormal"/>
              <w:jc w:val="center"/>
            </w:pPr>
            <w:r>
              <w:t>6,</w:t>
            </w:r>
            <w:r w:rsidR="007328DB">
              <w:t>8266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 w:val="restart"/>
          </w:tcPr>
          <w:p w:rsidR="0035078C" w:rsidRDefault="0035078C" w:rsidP="004B5EB8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7328DB" w:rsidP="00730B37">
            <w:pPr>
              <w:pStyle w:val="ConsPlusNormal"/>
              <w:jc w:val="center"/>
            </w:pPr>
            <w:r>
              <w:t>6,7459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7328DB" w:rsidP="00730B37">
            <w:pPr>
              <w:pStyle w:val="ConsPlusNormal"/>
              <w:jc w:val="center"/>
            </w:pPr>
            <w:r>
              <w:t>6,7459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9571" w:type="dxa"/>
            <w:gridSpan w:val="6"/>
          </w:tcPr>
          <w:p w:rsidR="0035078C" w:rsidRDefault="0035078C" w:rsidP="004438CA">
            <w:pPr>
              <w:pStyle w:val="ConsPlusNormal"/>
              <w:jc w:val="center"/>
            </w:pPr>
            <w:r>
              <w:t>Мощность</w:t>
            </w:r>
          </w:p>
        </w:tc>
      </w:tr>
      <w:tr w:rsidR="0035078C" w:rsidTr="00730B37">
        <w:tc>
          <w:tcPr>
            <w:tcW w:w="534" w:type="dxa"/>
            <w:vMerge w:val="restart"/>
          </w:tcPr>
          <w:p w:rsidR="0035078C" w:rsidRDefault="0035078C" w:rsidP="004B5E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r>
              <w:t xml:space="preserve">Поступление в сеть - ВСЕГО, </w:t>
            </w:r>
          </w:p>
          <w:p w:rsidR="0035078C" w:rsidRDefault="0035078C" w:rsidP="00730B37">
            <w:pPr>
              <w:pStyle w:val="ConsPlusNormal"/>
            </w:pPr>
            <w:r>
              <w:t>в том числе по уровням напряжения:</w:t>
            </w:r>
          </w:p>
        </w:tc>
        <w:tc>
          <w:tcPr>
            <w:tcW w:w="1275" w:type="dxa"/>
            <w:vMerge w:val="restart"/>
          </w:tcPr>
          <w:p w:rsidR="0035078C" w:rsidRDefault="0035078C" w:rsidP="00730B37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2,9200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2,9200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r>
              <w:t xml:space="preserve">Потери в электрической сети - ВСЕГО, </w:t>
            </w:r>
          </w:p>
          <w:p w:rsidR="0035078C" w:rsidRDefault="0035078C" w:rsidP="00730B37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vMerge w:val="restart"/>
          </w:tcPr>
          <w:p w:rsidR="0035078C" w:rsidRDefault="0035078C" w:rsidP="00730B37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0,1680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 w:val="restart"/>
          </w:tcPr>
          <w:p w:rsidR="0035078C" w:rsidRDefault="0035078C" w:rsidP="004B5EB8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proofErr w:type="gramStart"/>
            <w:r>
              <w:t>относимые</w:t>
            </w:r>
            <w:proofErr w:type="gramEnd"/>
            <w:r>
              <w:t xml:space="preserve">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</w:t>
            </w:r>
          </w:p>
          <w:p w:rsidR="0035078C" w:rsidRDefault="0035078C" w:rsidP="00730B37">
            <w:pPr>
              <w:pStyle w:val="ConsPlusNormal"/>
            </w:pPr>
            <w:r>
              <w:t xml:space="preserve"> в том числе по уровням напряжения: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0,1490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0,1490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Относительные потери в электрической сети - ВСЕГО, в том числе:</w:t>
            </w:r>
          </w:p>
        </w:tc>
        <w:tc>
          <w:tcPr>
            <w:tcW w:w="1275" w:type="dxa"/>
            <w:vMerge w:val="restart"/>
          </w:tcPr>
          <w:p w:rsidR="0035078C" w:rsidRDefault="0035078C" w:rsidP="00730B3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5,7534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 w:val="restart"/>
          </w:tcPr>
          <w:p w:rsidR="0035078C" w:rsidRDefault="0035078C" w:rsidP="004B5EB8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proofErr w:type="gramStart"/>
            <w:r>
              <w:t>относимые</w:t>
            </w:r>
            <w:proofErr w:type="gramEnd"/>
            <w:r>
              <w:t xml:space="preserve"> на передачу 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</w:t>
            </w:r>
          </w:p>
          <w:p w:rsidR="0035078C" w:rsidRDefault="0035078C" w:rsidP="00730B37">
            <w:pPr>
              <w:pStyle w:val="ConsPlusNormal"/>
            </w:pPr>
            <w:r>
              <w:t xml:space="preserve"> в том числе по уровням напряжения: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6,1016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6,1016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r>
              <w:t>Отпуск из сети (полезный отпуск) - ВСЕГО,</w:t>
            </w:r>
          </w:p>
          <w:p w:rsidR="0035078C" w:rsidRDefault="0035078C" w:rsidP="00730B37">
            <w:pPr>
              <w:pStyle w:val="ConsPlusNormal"/>
            </w:pPr>
            <w:r>
              <w:t xml:space="preserve"> в том числе:</w:t>
            </w:r>
          </w:p>
        </w:tc>
        <w:tc>
          <w:tcPr>
            <w:tcW w:w="1275" w:type="dxa"/>
            <w:vMerge w:val="restart"/>
          </w:tcPr>
          <w:p w:rsidR="0035078C" w:rsidRDefault="0035078C" w:rsidP="00730B37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2,7520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 w:val="restart"/>
          </w:tcPr>
          <w:p w:rsidR="0035078C" w:rsidRDefault="0035078C" w:rsidP="004B5EB8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сторонним потребителям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  <w:vMerge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  <w:vMerge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4536" w:type="dxa"/>
            <w:gridSpan w:val="2"/>
          </w:tcPr>
          <w:p w:rsidR="00730B37" w:rsidRDefault="0035078C" w:rsidP="00730B37">
            <w:pPr>
              <w:pStyle w:val="ConsPlusNormal"/>
            </w:pPr>
            <w:r>
              <w:t>Заявленная мощность - ВСЕГО,</w:t>
            </w:r>
          </w:p>
          <w:p w:rsidR="0035078C" w:rsidRDefault="0035078C" w:rsidP="00730B37">
            <w:pPr>
              <w:pStyle w:val="ConsPlusNormal"/>
            </w:pPr>
            <w:r>
              <w:t xml:space="preserve"> в том числе:</w:t>
            </w:r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2,7520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сторонних потребителей (</w:t>
            </w:r>
            <w:proofErr w:type="spellStart"/>
            <w:r>
              <w:t>субабонентам</w:t>
            </w:r>
            <w:proofErr w:type="spellEnd"/>
            <w:r>
              <w:t>) - всего, в том числе по уровням напряжения:</w:t>
            </w:r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ВН</w:t>
            </w:r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</w:t>
            </w:r>
            <w:proofErr w:type="gramEnd"/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СН-</w:t>
            </w:r>
            <w:proofErr w:type="gramStart"/>
            <w:r>
              <w:t>II</w:t>
            </w:r>
            <w:proofErr w:type="gramEnd"/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  <w:r>
              <w:t>2,4420</w:t>
            </w: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35078C" w:rsidTr="00730B37">
        <w:tc>
          <w:tcPr>
            <w:tcW w:w="534" w:type="dxa"/>
          </w:tcPr>
          <w:p w:rsidR="0035078C" w:rsidRDefault="0035078C" w:rsidP="004B5EB8">
            <w:pPr>
              <w:pStyle w:val="ConsPlusNormal"/>
              <w:jc w:val="both"/>
            </w:pPr>
          </w:p>
        </w:tc>
        <w:tc>
          <w:tcPr>
            <w:tcW w:w="4536" w:type="dxa"/>
            <w:gridSpan w:val="2"/>
          </w:tcPr>
          <w:p w:rsidR="0035078C" w:rsidRDefault="0035078C" w:rsidP="00730B37">
            <w:pPr>
              <w:pStyle w:val="ConsPlusNormal"/>
            </w:pPr>
            <w:r>
              <w:t>НН</w:t>
            </w:r>
          </w:p>
        </w:tc>
        <w:tc>
          <w:tcPr>
            <w:tcW w:w="1275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574" w:type="dxa"/>
          </w:tcPr>
          <w:p w:rsidR="0035078C" w:rsidRDefault="0035078C" w:rsidP="00730B37">
            <w:pPr>
              <w:pStyle w:val="ConsPlusNormal"/>
              <w:jc w:val="center"/>
            </w:pPr>
          </w:p>
        </w:tc>
        <w:tc>
          <w:tcPr>
            <w:tcW w:w="1652" w:type="dxa"/>
          </w:tcPr>
          <w:p w:rsidR="0035078C" w:rsidRDefault="004438CA" w:rsidP="004438CA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9304BF" w:rsidRDefault="009304BF" w:rsidP="004B5EB8">
      <w:pPr>
        <w:pStyle w:val="ConsPlusNormal"/>
        <w:jc w:val="both"/>
      </w:pPr>
    </w:p>
    <w:p w:rsidR="004B5EB8" w:rsidRDefault="004B5EB8" w:rsidP="004B5EB8">
      <w:pPr>
        <w:pStyle w:val="ConsPlusNormal"/>
        <w:jc w:val="both"/>
      </w:pPr>
    </w:p>
    <w:p w:rsidR="004B5EB8" w:rsidRDefault="004B5EB8" w:rsidP="004B5EB8">
      <w:pPr>
        <w:pStyle w:val="ConsPlusNormal"/>
        <w:jc w:val="both"/>
      </w:pPr>
      <w:bookmarkStart w:id="2" w:name="Par417"/>
      <w:bookmarkEnd w:id="2"/>
    </w:p>
    <w:p w:rsidR="00CB22A3" w:rsidRDefault="00CB22A3" w:rsidP="004B5EB8">
      <w:pPr>
        <w:spacing w:line="240" w:lineRule="auto"/>
      </w:pPr>
    </w:p>
    <w:sectPr w:rsidR="00CB22A3" w:rsidSect="00730B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EB8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3E5D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3DA3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078C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8CA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5EB8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795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0B37"/>
    <w:rsid w:val="007315E7"/>
    <w:rsid w:val="00731B9A"/>
    <w:rsid w:val="00732376"/>
    <w:rsid w:val="0073245D"/>
    <w:rsid w:val="007328DB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80D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636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BF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8FE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593"/>
    <w:rsid w:val="00B36E9C"/>
    <w:rsid w:val="00B36FBA"/>
    <w:rsid w:val="00B372A1"/>
    <w:rsid w:val="00B40444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9E5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0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2015-02-27T07:09:00Z</cp:lastPrinted>
  <dcterms:created xsi:type="dcterms:W3CDTF">2016-01-19T10:39:00Z</dcterms:created>
  <dcterms:modified xsi:type="dcterms:W3CDTF">2016-01-19T11:31:00Z</dcterms:modified>
</cp:coreProperties>
</file>